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29DD1C8C" w:rsidR="004E548B" w:rsidRPr="005D06D0" w:rsidRDefault="00BE435E" w:rsidP="004E548B">
                <w:pPr>
                  <w:spacing w:after="0"/>
                  <w:jc w:val="left"/>
                  <w:rPr>
                    <w:rFonts w:asciiTheme="minorHAnsi" w:hAnsiTheme="minorHAnsi"/>
                    <w:sz w:val="24"/>
                    <w:lang w:val="en-GB"/>
                  </w:rPr>
                </w:pPr>
                <w:r w:rsidRPr="00BE435E">
                  <w:rPr>
                    <w:rFonts w:asciiTheme="minorHAnsi" w:hAnsiTheme="minorHAnsi"/>
                    <w:sz w:val="24"/>
                    <w:lang w:val="en-GB"/>
                  </w:rPr>
                  <w:t>D10.7</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74526136" w:rsidR="00235E38" w:rsidRPr="004E548B" w:rsidRDefault="00BE435E" w:rsidP="00235E38">
                <w:pPr>
                  <w:spacing w:after="0"/>
                  <w:jc w:val="left"/>
                  <w:rPr>
                    <w:rFonts w:asciiTheme="minorHAnsi" w:hAnsiTheme="minorHAnsi"/>
                    <w:color w:val="FF0000"/>
                    <w:sz w:val="24"/>
                    <w:lang w:val="en-GB"/>
                  </w:rPr>
                </w:pPr>
                <w:r w:rsidRPr="00BE435E">
                  <w:rPr>
                    <w:rFonts w:asciiTheme="minorHAnsi" w:hAnsiTheme="minorHAnsi"/>
                    <w:sz w:val="24"/>
                    <w:lang w:val="en-GB"/>
                  </w:rPr>
                  <w:t>AXIA Innovation</w:t>
                </w:r>
              </w:p>
            </w:tc>
          </w:tr>
          <w:tr w:rsidR="004E548B" w:rsidRPr="005D06D0"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637FEE4A" w:rsidR="004E548B" w:rsidRPr="005D06D0" w:rsidRDefault="005A19D6" w:rsidP="004E548B">
                <w:pPr>
                  <w:spacing w:after="0"/>
                  <w:jc w:val="left"/>
                  <w:rPr>
                    <w:rFonts w:asciiTheme="minorHAnsi" w:hAnsiTheme="minorHAnsi"/>
                    <w:sz w:val="24"/>
                    <w:lang w:val="en-GB"/>
                  </w:rPr>
                </w:pPr>
                <w:r w:rsidRPr="005A19D6">
                  <w:rPr>
                    <w:rFonts w:asciiTheme="minorHAnsi" w:hAnsiTheme="minorHAnsi"/>
                    <w:sz w:val="24"/>
                    <w:lang w:val="en-GB"/>
                  </w:rPr>
                  <w:t>AXIA</w:t>
                </w: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1213448D" w:rsidR="004E548B" w:rsidRPr="005D06D0" w:rsidRDefault="00BE435E" w:rsidP="004E548B">
                <w:pPr>
                  <w:spacing w:after="0"/>
                  <w:jc w:val="left"/>
                  <w:rPr>
                    <w:rFonts w:asciiTheme="minorHAnsi" w:hAnsiTheme="minorHAnsi"/>
                    <w:sz w:val="24"/>
                    <w:lang w:val="en-GB"/>
                  </w:rPr>
                </w:pPr>
                <w:r w:rsidRPr="00BE435E">
                  <w:rPr>
                    <w:rFonts w:asciiTheme="minorHAnsi" w:hAnsiTheme="minorHAnsi"/>
                    <w:sz w:val="24"/>
                    <w:lang w:val="en-GB"/>
                  </w:rPr>
                  <w:t>WP10</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5BF9409E" w:rsidR="004E548B" w:rsidRPr="005D06D0" w:rsidRDefault="00BE435E" w:rsidP="004E548B">
                <w:pPr>
                  <w:spacing w:after="0"/>
                  <w:jc w:val="left"/>
                  <w:rPr>
                    <w:rFonts w:asciiTheme="minorHAnsi" w:hAnsiTheme="minorHAnsi"/>
                    <w:sz w:val="24"/>
                    <w:lang w:val="en-GB"/>
                  </w:rPr>
                </w:pPr>
                <w:r w:rsidRPr="00BE435E">
                  <w:rPr>
                    <w:rFonts w:asciiTheme="minorHAnsi" w:hAnsiTheme="minorHAnsi"/>
                    <w:sz w:val="24"/>
                    <w:lang w:val="en-GB"/>
                  </w:rPr>
                  <w:t>M06 – February 2020</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26179D9C" w:rsidR="004E548B" w:rsidRPr="005D06D0" w:rsidRDefault="00BE435E" w:rsidP="004E548B">
                <w:pPr>
                  <w:spacing w:after="0"/>
                  <w:jc w:val="left"/>
                  <w:rPr>
                    <w:rFonts w:asciiTheme="minorHAnsi" w:hAnsiTheme="minorHAnsi"/>
                    <w:sz w:val="24"/>
                    <w:lang w:val="en-GB"/>
                  </w:rPr>
                </w:pPr>
                <w:r w:rsidRPr="00BE435E">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7133EA0D" w14:textId="77777777" w:rsidR="00260C80" w:rsidRPr="005D06D0" w:rsidRDefault="00260C80" w:rsidP="00260C80">
          <w:pPr>
            <w:pStyle w:val="Puesto"/>
            <w:outlineLvl w:val="9"/>
            <w:rPr>
              <w:lang w:val="en-GB"/>
            </w:rPr>
          </w:pPr>
        </w:p>
        <w:p w14:paraId="6FA6D60D" w14:textId="77777777" w:rsidR="00260C80" w:rsidRPr="005D06D0" w:rsidRDefault="00260C80" w:rsidP="00260C80">
          <w:pPr>
            <w:pStyle w:val="Puesto"/>
            <w:outlineLvl w:val="9"/>
            <w:rPr>
              <w:lang w:val="en-GB"/>
            </w:rPr>
          </w:pPr>
        </w:p>
        <w:p w14:paraId="6E6EAF20" w14:textId="31279B1B" w:rsidR="00260C80" w:rsidRPr="00BE435E" w:rsidRDefault="00BE435E" w:rsidP="00260C80">
          <w:pPr>
            <w:pStyle w:val="Puesto"/>
            <w:outlineLvl w:val="9"/>
            <w:rPr>
              <w:color w:val="FF0000"/>
              <w:lang w:val="es-ES"/>
            </w:rPr>
          </w:pPr>
          <w:r w:rsidRPr="00BE435E">
            <w:rPr>
              <w:color w:val="auto"/>
              <w:lang w:val="es-ES"/>
            </w:rPr>
            <w:t>D10.7 Directrices sobre igualdad de género y no discriminación en AGRICORE</w:t>
          </w:r>
          <w:r w:rsidR="00F6124F" w:rsidRPr="00BE435E">
            <w:rPr>
              <w:color w:val="FF0000"/>
              <w:lang w:val="es-ES"/>
            </w:rPr>
            <w:br w:type="page"/>
          </w:r>
        </w:p>
        <w:p w14:paraId="274148F3" w14:textId="77777777" w:rsidR="00F6124F" w:rsidRPr="005D06D0" w:rsidRDefault="005A19D6">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bl>
    <w:p w14:paraId="0CF342DD" w14:textId="77777777" w:rsidR="001C1CE1" w:rsidRPr="004E548B" w:rsidRDefault="001C1CE1" w:rsidP="00506961">
      <w:pPr>
        <w:jc w:val="center"/>
      </w:pPr>
      <w:bookmarkStart w:id="2" w:name="_GoBack"/>
      <w:bookmarkEnd w:id="2"/>
    </w:p>
    <w:p w14:paraId="408A7C28" w14:textId="77777777" w:rsidR="004A09D7" w:rsidRPr="005D06D0" w:rsidRDefault="004A09D7" w:rsidP="006803ED">
      <w:pPr>
        <w:pStyle w:val="HeadingWithoutNumbering"/>
        <w:jc w:val="center"/>
        <w:rPr>
          <w:lang w:val="en-GB"/>
        </w:rPr>
      </w:pPr>
      <w:bookmarkStart w:id="3" w:name="scroll-bookmark-2"/>
      <w:r w:rsidRPr="005D06D0">
        <w:rPr>
          <w:lang w:val="en-GB"/>
        </w:rPr>
        <w:t>Version History</w:t>
      </w:r>
      <w:bookmarkEnd w:id="3"/>
    </w:p>
    <w:tbl>
      <w:tblPr>
        <w:tblStyle w:val="ScrollTableNormal"/>
        <w:tblW w:w="0" w:type="auto"/>
        <w:jc w:val="center"/>
        <w:tblLook w:val="0020" w:firstRow="1" w:lastRow="0" w:firstColumn="0" w:lastColumn="0" w:noHBand="0" w:noVBand="0"/>
      </w:tblPr>
      <w:tblGrid>
        <w:gridCol w:w="1413"/>
        <w:gridCol w:w="4070"/>
        <w:gridCol w:w="1261"/>
        <w:gridCol w:w="1143"/>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6A9FB884" w:rsidR="00343550" w:rsidRPr="00BE435E" w:rsidRDefault="00BE435E" w:rsidP="00343550">
            <w:pPr>
              <w:rPr>
                <w:sz w:val="20"/>
              </w:rPr>
            </w:pPr>
            <w:r w:rsidRPr="00BE435E">
              <w:rPr>
                <w:sz w:val="20"/>
              </w:rPr>
              <w:t>0.1</w:t>
            </w:r>
          </w:p>
        </w:tc>
        <w:tc>
          <w:tcPr>
            <w:tcW w:w="4070" w:type="dxa"/>
            <w:tcMar>
              <w:top w:w="30" w:type="dxa"/>
              <w:left w:w="30" w:type="dxa"/>
              <w:bottom w:w="20" w:type="dxa"/>
              <w:right w:w="30" w:type="dxa"/>
            </w:tcMar>
          </w:tcPr>
          <w:p w14:paraId="27817C33" w14:textId="009DE4C0" w:rsidR="00343550" w:rsidRPr="00BE435E" w:rsidRDefault="00BE435E" w:rsidP="00343550">
            <w:pPr>
              <w:rPr>
                <w:sz w:val="20"/>
              </w:rPr>
            </w:pPr>
            <w:proofErr w:type="spellStart"/>
            <w:r w:rsidRPr="00BE435E">
              <w:rPr>
                <w:sz w:val="20"/>
              </w:rPr>
              <w:t>Plantilla</w:t>
            </w:r>
            <w:proofErr w:type="spellEnd"/>
            <w:r w:rsidRPr="00BE435E">
              <w:rPr>
                <w:sz w:val="20"/>
              </w:rPr>
              <w:t xml:space="preserve"> </w:t>
            </w:r>
            <w:proofErr w:type="spellStart"/>
            <w:r w:rsidRPr="00BE435E">
              <w:rPr>
                <w:sz w:val="20"/>
              </w:rPr>
              <w:t>inicial</w:t>
            </w:r>
            <w:proofErr w:type="spellEnd"/>
          </w:p>
        </w:tc>
        <w:tc>
          <w:tcPr>
            <w:tcW w:w="0" w:type="auto"/>
            <w:tcMar>
              <w:top w:w="30" w:type="dxa"/>
              <w:left w:w="30" w:type="dxa"/>
              <w:bottom w:w="20" w:type="dxa"/>
              <w:right w:w="30" w:type="dxa"/>
            </w:tcMar>
          </w:tcPr>
          <w:p w14:paraId="2D867DEE" w14:textId="5CE73478" w:rsidR="00343550" w:rsidRPr="00BE435E" w:rsidRDefault="00BE435E" w:rsidP="00343550">
            <w:pPr>
              <w:rPr>
                <w:sz w:val="20"/>
              </w:rPr>
            </w:pPr>
            <w:r w:rsidRPr="00BE435E">
              <w:rPr>
                <w:sz w:val="20"/>
              </w:rPr>
              <w:t>AXIA</w:t>
            </w:r>
          </w:p>
        </w:tc>
        <w:tc>
          <w:tcPr>
            <w:tcW w:w="0" w:type="auto"/>
            <w:tcMar>
              <w:top w:w="30" w:type="dxa"/>
              <w:left w:w="30" w:type="dxa"/>
              <w:bottom w:w="20" w:type="dxa"/>
              <w:right w:w="30" w:type="dxa"/>
            </w:tcMar>
          </w:tcPr>
          <w:p w14:paraId="1B99DF4A" w14:textId="3C1CDB5D" w:rsidR="00343550" w:rsidRPr="00BE435E" w:rsidRDefault="00BE435E" w:rsidP="00343550">
            <w:pPr>
              <w:rPr>
                <w:sz w:val="20"/>
              </w:rPr>
            </w:pPr>
            <w:r w:rsidRPr="00BE435E">
              <w:rPr>
                <w:sz w:val="20"/>
              </w:rPr>
              <w:t>05/02/2020</w:t>
            </w:r>
          </w:p>
        </w:tc>
      </w:tr>
      <w:tr w:rsidR="00C558A8" w:rsidRPr="00535112" w14:paraId="12D55BEF" w14:textId="77777777" w:rsidTr="00535112">
        <w:trPr>
          <w:trHeight w:val="423"/>
          <w:jc w:val="center"/>
        </w:trPr>
        <w:tc>
          <w:tcPr>
            <w:tcW w:w="1413" w:type="dxa"/>
            <w:tcMar>
              <w:top w:w="30" w:type="dxa"/>
              <w:left w:w="30" w:type="dxa"/>
              <w:bottom w:w="20" w:type="dxa"/>
              <w:right w:w="30" w:type="dxa"/>
            </w:tcMar>
          </w:tcPr>
          <w:p w14:paraId="44527F4C" w14:textId="41ECD038" w:rsidR="00343550" w:rsidRPr="005D06D0" w:rsidRDefault="00BE435E" w:rsidP="000C1BDA">
            <w:pPr>
              <w:rPr>
                <w:sz w:val="20"/>
              </w:rPr>
            </w:pPr>
            <w:r w:rsidRPr="00BE435E">
              <w:rPr>
                <w:sz w:val="20"/>
              </w:rPr>
              <w:t>0.2</w:t>
            </w:r>
          </w:p>
        </w:tc>
        <w:tc>
          <w:tcPr>
            <w:tcW w:w="4070" w:type="dxa"/>
            <w:tcMar>
              <w:top w:w="30" w:type="dxa"/>
              <w:left w:w="30" w:type="dxa"/>
              <w:bottom w:w="20" w:type="dxa"/>
              <w:right w:w="30" w:type="dxa"/>
            </w:tcMar>
          </w:tcPr>
          <w:p w14:paraId="2BEA62B3" w14:textId="68A5BB38" w:rsidR="00343550" w:rsidRPr="00535112" w:rsidRDefault="00535112" w:rsidP="000C1BDA">
            <w:pPr>
              <w:rPr>
                <w:sz w:val="20"/>
                <w:lang w:val="es-ES"/>
              </w:rPr>
            </w:pPr>
            <w:r w:rsidRPr="00535112">
              <w:rPr>
                <w:sz w:val="20"/>
                <w:lang w:val="es-ES"/>
              </w:rPr>
              <w:t>Aspectos de igualdad de género incluido</w:t>
            </w:r>
            <w:r>
              <w:rPr>
                <w:sz w:val="20"/>
                <w:lang w:val="es-ES"/>
              </w:rPr>
              <w:t>s</w:t>
            </w:r>
          </w:p>
        </w:tc>
        <w:tc>
          <w:tcPr>
            <w:tcW w:w="0" w:type="auto"/>
            <w:tcMar>
              <w:top w:w="30" w:type="dxa"/>
              <w:left w:w="30" w:type="dxa"/>
              <w:bottom w:w="20" w:type="dxa"/>
              <w:right w:w="30" w:type="dxa"/>
            </w:tcMar>
          </w:tcPr>
          <w:p w14:paraId="59D92991" w14:textId="2AEF30E7" w:rsidR="00343550" w:rsidRPr="00535112" w:rsidRDefault="00535112" w:rsidP="000C1BDA">
            <w:pPr>
              <w:rPr>
                <w:sz w:val="20"/>
                <w:lang w:val="es-ES"/>
              </w:rPr>
            </w:pPr>
            <w:r w:rsidRPr="00535112">
              <w:rPr>
                <w:sz w:val="20"/>
                <w:lang w:val="es-ES"/>
              </w:rPr>
              <w:t>AXIA</w:t>
            </w:r>
          </w:p>
        </w:tc>
        <w:tc>
          <w:tcPr>
            <w:tcW w:w="0" w:type="auto"/>
            <w:tcMar>
              <w:top w:w="30" w:type="dxa"/>
              <w:left w:w="30" w:type="dxa"/>
              <w:bottom w:w="20" w:type="dxa"/>
              <w:right w:w="30" w:type="dxa"/>
            </w:tcMar>
          </w:tcPr>
          <w:p w14:paraId="7B1C96E2" w14:textId="1643F02B" w:rsidR="00343550" w:rsidRPr="00535112" w:rsidRDefault="00535112" w:rsidP="000C1BDA">
            <w:pPr>
              <w:rPr>
                <w:sz w:val="20"/>
                <w:lang w:val="es-ES"/>
              </w:rPr>
            </w:pPr>
            <w:r w:rsidRPr="00535112">
              <w:rPr>
                <w:sz w:val="20"/>
                <w:lang w:val="es-ES"/>
              </w:rPr>
              <w:t>11/02/2020</w:t>
            </w:r>
          </w:p>
        </w:tc>
      </w:tr>
      <w:tr w:rsidR="00535112" w:rsidRPr="00535112" w14:paraId="6B900575"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52DE9E07" w14:textId="059B1811" w:rsidR="00535112" w:rsidRPr="00BE435E" w:rsidRDefault="00535112" w:rsidP="000C1BDA">
            <w:pPr>
              <w:rPr>
                <w:sz w:val="20"/>
              </w:rPr>
            </w:pPr>
            <w:r w:rsidRPr="00535112">
              <w:rPr>
                <w:sz w:val="20"/>
              </w:rPr>
              <w:t>0.3</w:t>
            </w:r>
          </w:p>
        </w:tc>
        <w:tc>
          <w:tcPr>
            <w:tcW w:w="4070" w:type="dxa"/>
            <w:tcMar>
              <w:top w:w="30" w:type="dxa"/>
              <w:left w:w="30" w:type="dxa"/>
              <w:bottom w:w="20" w:type="dxa"/>
              <w:right w:w="30" w:type="dxa"/>
            </w:tcMar>
          </w:tcPr>
          <w:p w14:paraId="41614AE2" w14:textId="7C7148A2" w:rsidR="00535112" w:rsidRPr="00535112" w:rsidRDefault="00535112" w:rsidP="00535112">
            <w:pPr>
              <w:rPr>
                <w:sz w:val="20"/>
                <w:lang w:val="es-ES"/>
              </w:rPr>
            </w:pPr>
            <w:r w:rsidRPr="00535112">
              <w:rPr>
                <w:sz w:val="20"/>
                <w:lang w:val="es-ES"/>
              </w:rPr>
              <w:t>Aspectos de la dimensión de género incluidos</w:t>
            </w:r>
          </w:p>
        </w:tc>
        <w:tc>
          <w:tcPr>
            <w:tcW w:w="0" w:type="auto"/>
            <w:tcMar>
              <w:top w:w="30" w:type="dxa"/>
              <w:left w:w="30" w:type="dxa"/>
              <w:bottom w:w="20" w:type="dxa"/>
              <w:right w:w="30" w:type="dxa"/>
            </w:tcMar>
          </w:tcPr>
          <w:p w14:paraId="4C829FDC" w14:textId="367D01CF" w:rsidR="00535112" w:rsidRPr="00535112" w:rsidRDefault="00535112" w:rsidP="000C1BDA">
            <w:pPr>
              <w:rPr>
                <w:sz w:val="20"/>
                <w:lang w:val="es-ES"/>
              </w:rPr>
            </w:pPr>
            <w:r w:rsidRPr="00535112">
              <w:rPr>
                <w:sz w:val="20"/>
                <w:lang w:val="es-ES"/>
              </w:rPr>
              <w:t>AXIA</w:t>
            </w:r>
          </w:p>
        </w:tc>
        <w:tc>
          <w:tcPr>
            <w:tcW w:w="0" w:type="auto"/>
            <w:tcMar>
              <w:top w:w="30" w:type="dxa"/>
              <w:left w:w="30" w:type="dxa"/>
              <w:bottom w:w="20" w:type="dxa"/>
              <w:right w:w="30" w:type="dxa"/>
            </w:tcMar>
          </w:tcPr>
          <w:p w14:paraId="4A3B9A01" w14:textId="669059B0" w:rsidR="00535112" w:rsidRPr="00535112" w:rsidRDefault="00535112" w:rsidP="000C1BDA">
            <w:pPr>
              <w:rPr>
                <w:sz w:val="20"/>
                <w:lang w:val="es-ES"/>
              </w:rPr>
            </w:pPr>
            <w:r w:rsidRPr="00535112">
              <w:rPr>
                <w:sz w:val="20"/>
                <w:lang w:val="es-ES"/>
              </w:rPr>
              <w:t>15/02/2020</w:t>
            </w:r>
          </w:p>
        </w:tc>
      </w:tr>
      <w:tr w:rsidR="00535112" w:rsidRPr="00535112" w14:paraId="7E7026FA" w14:textId="77777777" w:rsidTr="00C558A8">
        <w:trPr>
          <w:jc w:val="center"/>
        </w:trPr>
        <w:tc>
          <w:tcPr>
            <w:tcW w:w="1413" w:type="dxa"/>
            <w:tcMar>
              <w:top w:w="30" w:type="dxa"/>
              <w:left w:w="30" w:type="dxa"/>
              <w:bottom w:w="20" w:type="dxa"/>
              <w:right w:w="30" w:type="dxa"/>
            </w:tcMar>
          </w:tcPr>
          <w:p w14:paraId="0932B35B" w14:textId="49AC80B7" w:rsidR="00535112" w:rsidRPr="00535112" w:rsidRDefault="00535112" w:rsidP="000C1BDA">
            <w:pPr>
              <w:rPr>
                <w:sz w:val="20"/>
              </w:rPr>
            </w:pPr>
            <w:r w:rsidRPr="00535112">
              <w:rPr>
                <w:sz w:val="20"/>
              </w:rPr>
              <w:t>0.4</w:t>
            </w:r>
          </w:p>
        </w:tc>
        <w:tc>
          <w:tcPr>
            <w:tcW w:w="4070" w:type="dxa"/>
            <w:tcMar>
              <w:top w:w="30" w:type="dxa"/>
              <w:left w:w="30" w:type="dxa"/>
              <w:bottom w:w="20" w:type="dxa"/>
              <w:right w:w="30" w:type="dxa"/>
            </w:tcMar>
          </w:tcPr>
          <w:p w14:paraId="7917694B" w14:textId="7532E62A" w:rsidR="00535112" w:rsidRPr="00535112" w:rsidRDefault="00535112" w:rsidP="00535112">
            <w:pPr>
              <w:rPr>
                <w:sz w:val="20"/>
                <w:lang w:val="es-ES"/>
              </w:rPr>
            </w:pPr>
            <w:r w:rsidRPr="00535112">
              <w:rPr>
                <w:sz w:val="20"/>
                <w:lang w:val="es-ES"/>
              </w:rPr>
              <w:t>Revisión interna y corrección de contenidos</w:t>
            </w:r>
          </w:p>
        </w:tc>
        <w:tc>
          <w:tcPr>
            <w:tcW w:w="0" w:type="auto"/>
            <w:tcMar>
              <w:top w:w="30" w:type="dxa"/>
              <w:left w:w="30" w:type="dxa"/>
              <w:bottom w:w="20" w:type="dxa"/>
              <w:right w:w="30" w:type="dxa"/>
            </w:tcMar>
          </w:tcPr>
          <w:p w14:paraId="122F6E24" w14:textId="522B783E" w:rsidR="00535112" w:rsidRPr="00535112" w:rsidRDefault="00535112" w:rsidP="000C1BDA">
            <w:pPr>
              <w:rPr>
                <w:sz w:val="20"/>
                <w:lang w:val="es-ES"/>
              </w:rPr>
            </w:pPr>
            <w:r w:rsidRPr="00535112">
              <w:rPr>
                <w:sz w:val="20"/>
                <w:lang w:val="es-ES"/>
              </w:rPr>
              <w:t>AXIA, IDENER</w:t>
            </w:r>
          </w:p>
        </w:tc>
        <w:tc>
          <w:tcPr>
            <w:tcW w:w="0" w:type="auto"/>
            <w:tcMar>
              <w:top w:w="30" w:type="dxa"/>
              <w:left w:w="30" w:type="dxa"/>
              <w:bottom w:w="20" w:type="dxa"/>
              <w:right w:w="30" w:type="dxa"/>
            </w:tcMar>
          </w:tcPr>
          <w:p w14:paraId="40A11359" w14:textId="5474E6A4" w:rsidR="00535112" w:rsidRPr="00535112" w:rsidRDefault="00535112" w:rsidP="000C1BDA">
            <w:pPr>
              <w:rPr>
                <w:sz w:val="20"/>
                <w:lang w:val="es-ES"/>
              </w:rPr>
            </w:pPr>
            <w:r w:rsidRPr="00535112">
              <w:rPr>
                <w:sz w:val="20"/>
                <w:lang w:val="es-ES"/>
              </w:rPr>
              <w:t>20/02/2020</w:t>
            </w:r>
          </w:p>
        </w:tc>
      </w:tr>
      <w:tr w:rsidR="00535112" w:rsidRPr="00535112" w14:paraId="7CF09A9D"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58951D6A" w14:textId="43D102B1" w:rsidR="00535112" w:rsidRPr="00535112" w:rsidRDefault="00535112" w:rsidP="000C1BDA">
            <w:pPr>
              <w:rPr>
                <w:sz w:val="20"/>
              </w:rPr>
            </w:pPr>
            <w:r w:rsidRPr="00535112">
              <w:rPr>
                <w:sz w:val="20"/>
              </w:rPr>
              <w:t>1.0</w:t>
            </w:r>
          </w:p>
        </w:tc>
        <w:tc>
          <w:tcPr>
            <w:tcW w:w="4070" w:type="dxa"/>
            <w:tcMar>
              <w:top w:w="30" w:type="dxa"/>
              <w:left w:w="30" w:type="dxa"/>
              <w:bottom w:w="20" w:type="dxa"/>
              <w:right w:w="30" w:type="dxa"/>
            </w:tcMar>
          </w:tcPr>
          <w:p w14:paraId="6B9655C1" w14:textId="57F4A487" w:rsidR="00535112" w:rsidRPr="00535112" w:rsidRDefault="00535112" w:rsidP="00535112">
            <w:pPr>
              <w:rPr>
                <w:sz w:val="20"/>
                <w:lang w:val="es-ES"/>
              </w:rPr>
            </w:pPr>
            <w:r w:rsidRPr="00535112">
              <w:rPr>
                <w:sz w:val="20"/>
                <w:lang w:val="es-ES"/>
              </w:rPr>
              <w:t>Versión final</w:t>
            </w:r>
          </w:p>
        </w:tc>
        <w:tc>
          <w:tcPr>
            <w:tcW w:w="0" w:type="auto"/>
            <w:tcMar>
              <w:top w:w="30" w:type="dxa"/>
              <w:left w:w="30" w:type="dxa"/>
              <w:bottom w:w="20" w:type="dxa"/>
              <w:right w:w="30" w:type="dxa"/>
            </w:tcMar>
          </w:tcPr>
          <w:p w14:paraId="0164BCB0" w14:textId="22A9F2DC" w:rsidR="00535112" w:rsidRPr="00535112" w:rsidRDefault="00535112" w:rsidP="000C1BDA">
            <w:pPr>
              <w:rPr>
                <w:sz w:val="20"/>
                <w:lang w:val="es-ES"/>
              </w:rPr>
            </w:pPr>
            <w:r w:rsidRPr="00535112">
              <w:rPr>
                <w:sz w:val="20"/>
                <w:lang w:val="es-ES"/>
              </w:rPr>
              <w:t>IDENER</w:t>
            </w:r>
          </w:p>
        </w:tc>
        <w:tc>
          <w:tcPr>
            <w:tcW w:w="0" w:type="auto"/>
            <w:tcMar>
              <w:top w:w="30" w:type="dxa"/>
              <w:left w:w="30" w:type="dxa"/>
              <w:bottom w:w="20" w:type="dxa"/>
              <w:right w:w="30" w:type="dxa"/>
            </w:tcMar>
          </w:tcPr>
          <w:p w14:paraId="10A74AE3" w14:textId="63E30934" w:rsidR="00535112" w:rsidRPr="00535112" w:rsidRDefault="00602F62" w:rsidP="000C1BDA">
            <w:pPr>
              <w:rPr>
                <w:sz w:val="20"/>
                <w:lang w:val="es-ES"/>
              </w:rPr>
            </w:pPr>
            <w:r w:rsidRPr="00602F62">
              <w:rPr>
                <w:sz w:val="20"/>
                <w:lang w:val="es-ES"/>
              </w:rPr>
              <w:t>29/02/2020</w:t>
            </w:r>
          </w:p>
        </w:tc>
      </w:tr>
    </w:tbl>
    <w:p w14:paraId="259BB504" w14:textId="77777777" w:rsidR="001C1CE1" w:rsidRPr="00535112" w:rsidRDefault="001C1CE1" w:rsidP="001C1CE1">
      <w:pPr>
        <w:rPr>
          <w:lang w:val="es-ES"/>
        </w:rPr>
      </w:pPr>
    </w:p>
    <w:p w14:paraId="1CDD7FD2" w14:textId="787D4D57" w:rsidR="00C558A8" w:rsidRPr="00535112" w:rsidRDefault="00C558A8" w:rsidP="001C1CE1">
      <w:pPr>
        <w:rPr>
          <w:lang w:val="es-ES"/>
        </w:rPr>
      </w:pPr>
    </w:p>
    <w:p w14:paraId="7A0CE954" w14:textId="5C603CEA" w:rsidR="00C558A8" w:rsidRPr="00535112" w:rsidRDefault="00C558A8" w:rsidP="001C1CE1">
      <w:pPr>
        <w:rPr>
          <w:lang w:val="es-ES"/>
        </w:rPr>
      </w:pPr>
    </w:p>
    <w:p w14:paraId="730DD185" w14:textId="742BC676" w:rsidR="00C558A8" w:rsidRPr="00535112" w:rsidRDefault="00C558A8" w:rsidP="001C1CE1">
      <w:pPr>
        <w:rPr>
          <w:lang w:val="es-ES"/>
        </w:rPr>
      </w:pPr>
    </w:p>
    <w:p w14:paraId="4E69937A" w14:textId="434B9DD7" w:rsidR="00C558A8" w:rsidRPr="00535112" w:rsidRDefault="00C558A8" w:rsidP="001C1CE1">
      <w:pPr>
        <w:rPr>
          <w:lang w:val="es-ES"/>
        </w:rPr>
      </w:pPr>
    </w:p>
    <w:p w14:paraId="46F317DF" w14:textId="15C28CAB" w:rsidR="00C558A8" w:rsidRPr="00535112" w:rsidRDefault="00C558A8" w:rsidP="001C1CE1">
      <w:pPr>
        <w:rPr>
          <w:lang w:val="es-ES"/>
        </w:rPr>
      </w:pPr>
    </w:p>
    <w:p w14:paraId="639B3BF6" w14:textId="3FC76965" w:rsidR="00C558A8" w:rsidRPr="00535112" w:rsidRDefault="00C558A8" w:rsidP="001C1CE1">
      <w:pPr>
        <w:rPr>
          <w:lang w:val="es-ES"/>
        </w:rPr>
      </w:pPr>
    </w:p>
    <w:p w14:paraId="60232EB7" w14:textId="77777777" w:rsidR="00C558A8" w:rsidRPr="00535112" w:rsidRDefault="00C558A8" w:rsidP="001C1CE1">
      <w:pPr>
        <w:rPr>
          <w:lang w:val="es-ES"/>
        </w:rPr>
      </w:pPr>
    </w:p>
    <w:p w14:paraId="012A605B" w14:textId="77777777" w:rsidR="00C558A8" w:rsidRPr="00535112" w:rsidRDefault="00C558A8" w:rsidP="004C211E">
      <w:pPr>
        <w:pStyle w:val="HeadingWithoutNumbering"/>
        <w:rPr>
          <w:lang w:val="es-ES"/>
        </w:rPr>
      </w:pPr>
    </w:p>
    <w:p w14:paraId="7FB75337" w14:textId="258FCBDB" w:rsidR="000B5E3F" w:rsidRDefault="000B5E3F" w:rsidP="004C211E">
      <w:pPr>
        <w:pStyle w:val="HeadingWithoutNumbering"/>
        <w:rPr>
          <w:lang w:val="es-ES"/>
        </w:rPr>
      </w:pPr>
      <w:r>
        <w:rPr>
          <w:lang w:val="es-ES"/>
        </w:rPr>
        <w:br w:type="page"/>
      </w:r>
    </w:p>
    <w:p w14:paraId="3DF31455" w14:textId="77777777" w:rsidR="000B5E3F" w:rsidRDefault="000B5E3F" w:rsidP="004C211E">
      <w:pPr>
        <w:pStyle w:val="HeadingWithoutNumbering"/>
        <w:rPr>
          <w:lang w:val="es-ES"/>
        </w:rPr>
        <w:sectPr w:rsidR="000B5E3F"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p>
    <w:p w14:paraId="188C54BF" w14:textId="44F674FE" w:rsidR="00C558A8" w:rsidRPr="00535112" w:rsidRDefault="00C558A8" w:rsidP="004C211E">
      <w:pPr>
        <w:pStyle w:val="HeadingWithoutNumbering"/>
        <w:rPr>
          <w:lang w:val="es-ES"/>
        </w:rPr>
      </w:pPr>
    </w:p>
    <w:p w14:paraId="23BB3D91" w14:textId="29CBB319" w:rsidR="003F6DE8" w:rsidRPr="0033121E" w:rsidRDefault="00C53B91" w:rsidP="004C211E">
      <w:pPr>
        <w:pStyle w:val="HeadingWithoutNumbering"/>
        <w:rPr>
          <w:color w:val="FF0000"/>
          <w:sz w:val="20"/>
          <w:szCs w:val="20"/>
          <w:lang w:val="en-GB"/>
        </w:rPr>
      </w:pPr>
      <w:proofErr w:type="spellStart"/>
      <w:r>
        <w:rPr>
          <w:lang w:val="en-GB"/>
        </w:rPr>
        <w:t>Resumen</w:t>
      </w:r>
      <w:proofErr w:type="spellEnd"/>
      <w:r>
        <w:rPr>
          <w:lang w:val="en-GB"/>
        </w:rPr>
        <w:t xml:space="preserve"> </w:t>
      </w:r>
      <w:proofErr w:type="spellStart"/>
      <w:r>
        <w:rPr>
          <w:lang w:val="en-GB"/>
        </w:rPr>
        <w:t>Ejecutivo</w:t>
      </w:r>
      <w:proofErr w:type="spellEnd"/>
    </w:p>
    <w:p w14:paraId="532FCEAF" w14:textId="77777777" w:rsidR="009A3364" w:rsidRPr="009A3364" w:rsidRDefault="009A3364" w:rsidP="009A3364">
      <w:pPr>
        <w:rPr>
          <w:rFonts w:asciiTheme="minorHAnsi" w:hAnsiTheme="minorHAnsi"/>
          <w:sz w:val="24"/>
          <w:lang w:val="es-ES_tradnl"/>
        </w:rPr>
      </w:pPr>
      <w:r w:rsidRPr="009A3364">
        <w:rPr>
          <w:rFonts w:asciiTheme="minorHAnsi" w:hAnsiTheme="minorHAnsi"/>
          <w:sz w:val="24"/>
          <w:lang w:val="es-ES_tradnl"/>
        </w:rPr>
        <w:t xml:space="preserve">El objetivo del presente informe es proporcionar una visión general de la igualdad de género en las acciones de investigación e innovación siguiendo la perspectiva y las ambiciones clave del programa marco Horizonte 2020. La primera de las ambiciones clave es proporcionar una breve descripción de las últimas directivas de la UE que describen la eliminación de la integración de la perspectiva de género en la investigación. La segunda parte se refiere al enfoque estratégico de la igualdad de género dentro del proyecto </w:t>
      </w:r>
      <w:proofErr w:type="spellStart"/>
      <w:r w:rsidRPr="009A3364">
        <w:rPr>
          <w:rFonts w:asciiTheme="minorHAnsi" w:hAnsiTheme="minorHAnsi"/>
          <w:sz w:val="24"/>
          <w:lang w:val="es-ES_tradnl"/>
        </w:rPr>
        <w:t>Agricore</w:t>
      </w:r>
      <w:proofErr w:type="spellEnd"/>
      <w:r w:rsidRPr="009A3364">
        <w:rPr>
          <w:rFonts w:asciiTheme="minorHAnsi" w:hAnsiTheme="minorHAnsi"/>
          <w:sz w:val="24"/>
          <w:lang w:val="es-ES_tradnl"/>
        </w:rPr>
        <w:t>. El contenido pretende describir brevemente el apoyo al equilibrio de género en las actividades de investigación del proyecto y la toma de decisiones posee junto con la revisión sistemática del papel del género en la agricultura y el desarrollo rural.</w:t>
      </w:r>
    </w:p>
    <w:p w14:paraId="2A06F55D" w14:textId="6C18EC09" w:rsidR="00946126" w:rsidRPr="009A3364" w:rsidRDefault="009A3364" w:rsidP="009A3364">
      <w:pPr>
        <w:rPr>
          <w:rFonts w:asciiTheme="minorHAnsi" w:hAnsiTheme="minorHAnsi"/>
          <w:sz w:val="24"/>
          <w:lang w:val="es-ES"/>
        </w:rPr>
      </w:pPr>
      <w:r w:rsidRPr="009A3364">
        <w:rPr>
          <w:rFonts w:asciiTheme="minorHAnsi" w:hAnsiTheme="minorHAnsi"/>
          <w:sz w:val="24"/>
          <w:lang w:val="es-ES_tradnl"/>
        </w:rPr>
        <w:t>Este informe forma parte del paquete de trabajo 10, dedicado a la gestión del proyecto, en el que una tarea completa cubre la visión general de las directivas para la igualdad de género y la no discriminación. (Tarea 10.9- Dimensión de género tal y como se presenta en el Acuerdo de Subvención). El punto de atención de la Tarea 10.9 es evitar cualquier sesgo potencial de género dentro del marco del proyecto en general, pero además dentro de la investigación hacia el desarrollo de los servicios de la plataforma IT inteligente en la agricultura. Para resumir todos los atributos relacionados, el entregable "D10.7 - Igualdad de género y no discriminación en AGRICORE" se ha estructurado al principio del proyecto para asegurar todas las actividades necesarias para la igualdad de género</w:t>
      </w:r>
      <w:r w:rsidRPr="009A3364">
        <w:rPr>
          <w:rFonts w:asciiTheme="minorHAnsi" w:hAnsiTheme="minorHAnsi"/>
          <w:sz w:val="24"/>
          <w:lang w:val="es-ES"/>
        </w:rPr>
        <w:t>.</w:t>
      </w:r>
    </w:p>
    <w:p w14:paraId="67FFC7C6" w14:textId="77777777" w:rsidR="003F6DE8" w:rsidRPr="009A3364" w:rsidRDefault="00A71496" w:rsidP="003F6DE8">
      <w:pPr>
        <w:spacing w:after="0"/>
        <w:jc w:val="left"/>
        <w:rPr>
          <w:lang w:val="es-ES"/>
        </w:rPr>
      </w:pPr>
      <w:r w:rsidRPr="009A3364">
        <w:rPr>
          <w:lang w:val="es-ES"/>
        </w:rPr>
        <w:br w:type="page"/>
      </w:r>
    </w:p>
    <w:p w14:paraId="62C7705F" w14:textId="77777777" w:rsidR="009E45F7" w:rsidRPr="009A3364" w:rsidRDefault="009E45F7" w:rsidP="003F6DE8">
      <w:pPr>
        <w:spacing w:after="0"/>
        <w:rPr>
          <w:lang w:val="es-ES"/>
        </w:rPr>
        <w:sectPr w:rsidR="009E45F7" w:rsidRPr="009A3364" w:rsidSect="000B5E3F">
          <w:footerReference w:type="first" r:id="rId15"/>
          <w:type w:val="continuous"/>
          <w:pgSz w:w="11899" w:h="16838"/>
          <w:pgMar w:top="1440" w:right="1080" w:bottom="1440" w:left="1080" w:header="709" w:footer="475" w:gutter="0"/>
          <w:cols w:space="708"/>
          <w:titlePg/>
          <w:docGrid w:linePitch="360"/>
        </w:sectPr>
      </w:pPr>
    </w:p>
    <w:p w14:paraId="457325EA" w14:textId="1E791C4C" w:rsidR="00946126" w:rsidRPr="00E64B90" w:rsidRDefault="00A71496" w:rsidP="0033121E">
      <w:pPr>
        <w:pStyle w:val="Ttulo1"/>
        <w:numPr>
          <w:ilvl w:val="0"/>
          <w:numId w:val="0"/>
        </w:numPr>
        <w:ind w:left="432" w:hanging="432"/>
        <w:rPr>
          <w:color w:val="FF0000"/>
          <w:sz w:val="22"/>
          <w:szCs w:val="22"/>
          <w:lang w:val="es-ES"/>
        </w:rPr>
      </w:pPr>
      <w:bookmarkStart w:id="4" w:name="scroll-bookmark-1"/>
      <w:bookmarkStart w:id="5" w:name="scroll-bookmark-51"/>
      <w:bookmarkStart w:id="6" w:name="_Toc91521690"/>
      <w:bookmarkEnd w:id="4"/>
      <w:r w:rsidRPr="00E64B90">
        <w:rPr>
          <w:lang w:val="es-ES"/>
        </w:rPr>
        <w:lastRenderedPageBreak/>
        <w:t>Conclusion</w:t>
      </w:r>
      <w:r w:rsidR="009A3364" w:rsidRPr="00E64B90">
        <w:rPr>
          <w:lang w:val="es-ES"/>
        </w:rPr>
        <w:t>e</w:t>
      </w:r>
      <w:r w:rsidRPr="00E64B90">
        <w:rPr>
          <w:lang w:val="es-ES"/>
        </w:rPr>
        <w:t>s</w:t>
      </w:r>
      <w:bookmarkEnd w:id="5"/>
      <w:bookmarkEnd w:id="6"/>
      <w:r w:rsidR="00E64B90" w:rsidRPr="00E64B90">
        <w:rPr>
          <w:lang w:val="es-ES"/>
        </w:rPr>
        <w:t xml:space="preserve"> y acciones</w:t>
      </w:r>
    </w:p>
    <w:p w14:paraId="28F3EA88" w14:textId="10F36D63" w:rsidR="00704224" w:rsidRPr="00E64B90" w:rsidRDefault="00704224" w:rsidP="00C6185E">
      <w:pPr>
        <w:tabs>
          <w:tab w:val="left" w:pos="1212"/>
        </w:tabs>
        <w:rPr>
          <w:color w:val="FF0000"/>
          <w:lang w:val="es-ES"/>
        </w:rPr>
      </w:pPr>
    </w:p>
    <w:p w14:paraId="6B509667" w14:textId="77777777" w:rsidR="00E64B90" w:rsidRPr="00E64B90" w:rsidRDefault="00E64B90" w:rsidP="00E64B90">
      <w:pPr>
        <w:tabs>
          <w:tab w:val="left" w:pos="1212"/>
        </w:tabs>
        <w:rPr>
          <w:lang w:val="es-ES"/>
        </w:rPr>
      </w:pPr>
      <w:r w:rsidRPr="00E64B90">
        <w:rPr>
          <w:lang w:val="es-ES"/>
        </w:rPr>
        <w:t>Cuanto más se investigue sobre el género y la ciencia, mejor se podrán comprender y, por tanto, afrontar las complejidades de las desigualdades de género en la ciencia y la innovación.</w:t>
      </w:r>
    </w:p>
    <w:p w14:paraId="0DA6D08D" w14:textId="77777777" w:rsidR="00E64B90" w:rsidRPr="00E64B90" w:rsidRDefault="00E64B90" w:rsidP="00E64B90">
      <w:pPr>
        <w:tabs>
          <w:tab w:val="left" w:pos="1212"/>
        </w:tabs>
        <w:rPr>
          <w:lang w:val="es-ES"/>
        </w:rPr>
      </w:pPr>
      <w:r w:rsidRPr="00E64B90">
        <w:rPr>
          <w:lang w:val="es-ES"/>
        </w:rPr>
        <w:t>Por esta razón, AGRICORE afronta los aspectos de género mediante la integración de la dimensión de género en la investigación, manteniendo al mismo tiempo un equilibrio adecuado entre investigadores y socios masculinos y femeninos dentro del consorcio.</w:t>
      </w:r>
    </w:p>
    <w:p w14:paraId="539B70B0" w14:textId="77777777" w:rsidR="00E64B90" w:rsidRPr="00E64B90" w:rsidRDefault="00E64B90" w:rsidP="00E64B90">
      <w:pPr>
        <w:tabs>
          <w:tab w:val="left" w:pos="1212"/>
        </w:tabs>
        <w:rPr>
          <w:lang w:val="es-ES"/>
        </w:rPr>
      </w:pPr>
      <w:r w:rsidRPr="00E64B90">
        <w:rPr>
          <w:lang w:val="es-ES"/>
        </w:rPr>
        <w:t>En este contexto, el consorcio AGRICORE apoya los objetivos de la Comisión Europea de promover la igualdad de género en la investigación y la innovación, como se indica en el artículo 16 de Horizonte 2020. La infrarrepresentación de las mujeres en la ciencia debido a la falta de atención a los aspectos de género constituye una gran preocupación en la UE. En el marco de AGRICORE, los aspectos de género se tienen muy en cuenta para garantizar que la promoción de la igualdad de género esté presente en el mayor número posible de aspectos del proyecto.</w:t>
      </w:r>
    </w:p>
    <w:p w14:paraId="0D3EE403" w14:textId="77777777" w:rsidR="00E64B90" w:rsidRPr="00E64B90" w:rsidRDefault="00E64B90" w:rsidP="00E64B90">
      <w:pPr>
        <w:tabs>
          <w:tab w:val="left" w:pos="1212"/>
        </w:tabs>
        <w:rPr>
          <w:lang w:val="es-ES"/>
        </w:rPr>
      </w:pPr>
      <w:r w:rsidRPr="00E64B90">
        <w:rPr>
          <w:lang w:val="es-ES"/>
        </w:rPr>
        <w:t xml:space="preserve">En este informe, hemos presentado el Plan de Acción de Género inicial para el proyecto AGRICORE. Las piedras angulares son la aceptación de la importancia de la diversidad de género en la ciencia y la tecnología, la aplicación de las mejores prácticas para la creación de un lugar de trabajo diverso y justo y el seguimiento </w:t>
      </w:r>
      <w:proofErr w:type="gramStart"/>
      <w:r w:rsidRPr="00E64B90">
        <w:rPr>
          <w:lang w:val="es-ES"/>
        </w:rPr>
        <w:t>continuo</w:t>
      </w:r>
      <w:proofErr w:type="gramEnd"/>
      <w:r w:rsidRPr="00E64B90">
        <w:rPr>
          <w:lang w:val="es-ES"/>
        </w:rPr>
        <w:t xml:space="preserve"> de la representación de género en el consorcio y en el contenido de la investigación. El consorcio AGRICORE se compromete a mantener un entorno de trabajo libre de toda discriminación y que fomente una representación equitativa de las mujeres. Además, los socios buscarán cualquier oportunidad que surja para aumentar la participación de las mujeres en AGRICORE: El progreso de las acciones de género adoptadas se supervisará a lo largo del proyecto y se informará, cuando sea necesario, en los informes de gestión intermedios y, en particular, en el informe final al término del proyecto.</w:t>
      </w:r>
    </w:p>
    <w:p w14:paraId="40BDF2EC" w14:textId="77777777" w:rsidR="00E64B90" w:rsidRPr="00E64B90" w:rsidRDefault="00E64B90" w:rsidP="00E64B90">
      <w:pPr>
        <w:tabs>
          <w:tab w:val="left" w:pos="1212"/>
        </w:tabs>
        <w:rPr>
          <w:lang w:val="es-ES"/>
        </w:rPr>
      </w:pPr>
      <w:r w:rsidRPr="00E64B90">
        <w:rPr>
          <w:lang w:val="es-ES"/>
        </w:rPr>
        <w:t>AGRICORE reconoce la necesidad y la importancia de promover el equilibrio y la igualdad de género de forma transversal a lo largo de la planificación y la ejecución de todas las tareas para destacar como un excelente ejemplo de comunidad de trabajo bien equilibrada.</w:t>
      </w:r>
    </w:p>
    <w:p w14:paraId="521D2B8A" w14:textId="77777777" w:rsidR="00E64B90" w:rsidRPr="00E64B90" w:rsidRDefault="00E64B90" w:rsidP="00E64B90">
      <w:pPr>
        <w:tabs>
          <w:tab w:val="left" w:pos="1212"/>
        </w:tabs>
        <w:rPr>
          <w:u w:val="single"/>
          <w:lang w:val="es-ES"/>
        </w:rPr>
      </w:pPr>
    </w:p>
    <w:p w14:paraId="12D7126D" w14:textId="4473483C" w:rsidR="00AB46A0" w:rsidRPr="00E64B90" w:rsidRDefault="00AB46A0" w:rsidP="0033121E">
      <w:pPr>
        <w:spacing w:after="0"/>
        <w:jc w:val="left"/>
        <w:rPr>
          <w:lang w:val="es-ES"/>
        </w:rPr>
      </w:pPr>
    </w:p>
    <w:sectPr w:rsidR="00AB46A0" w:rsidRPr="00E64B90" w:rsidSect="00F46662">
      <w:footerReference w:type="default" r:id="rId16"/>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7525FAEB" w:rsidR="001618B6" w:rsidRPr="000E0E09" w:rsidRDefault="00A71496" w:rsidP="001618B6">
    <w:pPr>
      <w:pStyle w:val="Piedepgina"/>
      <w:rPr>
        <w:rFonts w:asciiTheme="minorHAnsi" w:hAnsiTheme="minorHAnsi"/>
        <w:color w:val="FFFFFF" w:themeColor="background1"/>
        <w:sz w:val="20"/>
        <w:szCs w:val="20"/>
        <w:lang w:val="es-ES"/>
      </w:rPr>
    </w:pPr>
    <w:r w:rsidRPr="000E0E09">
      <w:rPr>
        <w:noProof/>
        <w:color w:val="FFFFFF" w:themeColor="background1"/>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0E0E09">
      <w:rPr>
        <w:rFonts w:asciiTheme="minorHAnsi" w:hAnsiTheme="minorHAnsi"/>
        <w:color w:val="FFFFFF" w:themeColor="background1"/>
        <w:sz w:val="20"/>
        <w:szCs w:val="20"/>
        <w:lang w:val="es-ES"/>
      </w:rPr>
      <w:t xml:space="preserve"> </w:t>
    </w:r>
    <w:r w:rsidRPr="007966A6">
      <w:rPr>
        <w:rFonts w:asciiTheme="minorHAnsi" w:hAnsiTheme="minorHAnsi"/>
        <w:color w:val="FFFFFF" w:themeColor="background1"/>
        <w:sz w:val="20"/>
        <w:szCs w:val="20"/>
      </w:rPr>
      <w:fldChar w:fldCharType="begin"/>
    </w:r>
    <w:r w:rsidRPr="000E0E09">
      <w:rPr>
        <w:rFonts w:asciiTheme="minorHAnsi" w:hAnsiTheme="minorHAnsi"/>
        <w:color w:val="FFFFFF" w:themeColor="background1"/>
        <w:sz w:val="20"/>
        <w:szCs w:val="20"/>
        <w:lang w:val="es-ES"/>
      </w:rPr>
      <w:instrText xml:space="preserve"> PAGE  \* MERGEFORMAT </w:instrText>
    </w:r>
    <w:r w:rsidRPr="007966A6">
      <w:rPr>
        <w:rFonts w:asciiTheme="minorHAnsi" w:hAnsiTheme="minorHAnsi"/>
        <w:color w:val="FFFFFF" w:themeColor="background1"/>
        <w:sz w:val="20"/>
        <w:szCs w:val="20"/>
      </w:rPr>
      <w:fldChar w:fldCharType="separate"/>
    </w:r>
    <w:r w:rsidR="005A19D6">
      <w:rPr>
        <w:rFonts w:asciiTheme="minorHAnsi" w:hAnsiTheme="minorHAnsi"/>
        <w:noProof/>
        <w:color w:val="FFFFFF" w:themeColor="background1"/>
        <w:sz w:val="20"/>
        <w:szCs w:val="20"/>
        <w:lang w:val="es-ES"/>
      </w:rPr>
      <w:t>2</w:t>
    </w:r>
    <w:r w:rsidRPr="007966A6">
      <w:rPr>
        <w:rFonts w:asciiTheme="minorHAnsi" w:hAnsiTheme="minorHAnsi"/>
        <w:color w:val="FFFFFF" w:themeColor="background1"/>
        <w:sz w:val="20"/>
        <w:szCs w:val="20"/>
      </w:rPr>
      <w:fldChar w:fldCharType="end"/>
    </w:r>
  </w:p>
  <w:p w14:paraId="3CB23743" w14:textId="260983DF" w:rsidR="003F6DE8" w:rsidRPr="000E0E09" w:rsidRDefault="003F6DE8" w:rsidP="001618B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edep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5A19D6">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1E43F4DF" w:rsidR="003D0E36" w:rsidRDefault="000B5E3F" w:rsidP="000B5E3F">
    <w:pPr>
      <w:pStyle w:val="Piedepgina"/>
      <w:tabs>
        <w:tab w:val="left" w:pos="6870"/>
      </w:tabs>
      <w:jc w:val="both"/>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438043655"/>
      <w:docPartObj>
        <w:docPartGallery w:val="Page Numbers (Bottom of Page)"/>
        <w:docPartUnique/>
      </w:docPartObj>
    </w:sdtPr>
    <w:sdtEndPr>
      <w:rPr>
        <w:noProof/>
      </w:rPr>
    </w:sdtEndPr>
    <w:sdtContent>
      <w:p w14:paraId="60159113" w14:textId="034AF6D5" w:rsidR="000B5E3F" w:rsidRPr="00A465CF" w:rsidRDefault="000B5E3F">
        <w:pPr>
          <w:pStyle w:val="Piedepgina"/>
          <w:rPr>
            <w:rFonts w:asciiTheme="minorHAnsi" w:hAnsiTheme="minorHAnsi"/>
            <w:color w:val="FFFFFF" w:themeColor="background1"/>
          </w:rPr>
        </w:pPr>
        <w:r w:rsidRPr="000E0E09">
          <w:rPr>
            <w:noProof/>
            <w:color w:val="FFFFFF" w:themeColor="background1"/>
            <w:sz w:val="20"/>
            <w:szCs w:val="20"/>
            <w:lang w:val="es-ES" w:eastAsia="es-ES"/>
          </w:rPr>
          <mc:AlternateContent>
            <mc:Choice Requires="wps">
              <w:drawing>
                <wp:anchor distT="0" distB="0" distL="114300" distR="114300" simplePos="0" relativeHeight="251693056" behindDoc="1" locked="0" layoutInCell="1" allowOverlap="1" wp14:anchorId="16AAEE72" wp14:editId="6379B94B">
                  <wp:simplePos x="0" y="0"/>
                  <wp:positionH relativeFrom="margin">
                    <wp:align>center</wp:align>
                  </wp:positionH>
                  <wp:positionV relativeFrom="paragraph">
                    <wp:posOffset>-334010</wp:posOffset>
                  </wp:positionV>
                  <wp:extent cx="8103177" cy="850150"/>
                  <wp:effectExtent l="57150" t="19050" r="50800" b="83820"/>
                  <wp:wrapNone/>
                  <wp:docPr id="6"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3DAF4D3" id="Rectangle 3" o:spid="_x0000_s1026" style="position:absolute;margin-left:0;margin-top:-26.3pt;width:638.05pt;height:66.9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" fillcolor="#76923c [2406]" stroked="f">
                  <v:shadow on="t" color="black" opacity="22937f" origin=",.5" offset="0,.63889mm"/>
                  <w10:wrap anchorx="margin"/>
                </v:rect>
              </w:pict>
            </mc:Fallback>
          </mc:AlternateContent>
        </w: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w:t>
        </w:r>
        <w:proofErr w:type="spellStart"/>
        <w:r>
          <w:rPr>
            <w:rFonts w:asciiTheme="minorHAnsi" w:hAnsiTheme="minorHAnsi"/>
            <w:color w:val="FFFFFF" w:themeColor="background1"/>
          </w:rPr>
          <w:t>ejecutivo</w:t>
        </w:r>
        <w:proofErr w:type="spellEnd"/>
        <w:r>
          <w:rPr>
            <w:rFonts w:asciiTheme="minorHAnsi" w:hAnsiTheme="minorHAnsi"/>
            <w:color w:val="FFFFFF" w:themeColor="background1"/>
          </w:rPr>
          <w:t xml:space="preserve"> </w: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5A19D6">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p>
    </w:sdtContent>
  </w:sdt>
  <w:p w14:paraId="366B6271" w14:textId="77777777" w:rsidR="000B5E3F" w:rsidRDefault="000B5E3F" w:rsidP="000B5E3F">
    <w:pPr>
      <w:pStyle w:val="Piedepgina"/>
      <w:tabs>
        <w:tab w:val="left" w:pos="6870"/>
      </w:tabs>
      <w:jc w:val="both"/>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3E4A" w14:textId="77777777" w:rsidR="000B5E3F" w:rsidRPr="000E0E09" w:rsidRDefault="000B5E3F" w:rsidP="001618B6">
    <w:pPr>
      <w:pStyle w:val="Piedepgina"/>
      <w:rPr>
        <w:rFonts w:asciiTheme="minorHAnsi" w:hAnsiTheme="minorHAnsi"/>
        <w:color w:val="FFFFFF" w:themeColor="background1"/>
        <w:sz w:val="20"/>
        <w:szCs w:val="20"/>
        <w:lang w:val="es-ES"/>
      </w:rPr>
    </w:pPr>
    <w:r w:rsidRPr="000E0E09">
      <w:rPr>
        <w:noProof/>
        <w:color w:val="FFFFFF" w:themeColor="background1"/>
        <w:sz w:val="20"/>
        <w:szCs w:val="20"/>
        <w:lang w:val="es-ES" w:eastAsia="es-ES"/>
      </w:rPr>
      <mc:AlternateContent>
        <mc:Choice Requires="wps">
          <w:drawing>
            <wp:anchor distT="0" distB="0" distL="114300" distR="114300" simplePos="0" relativeHeight="251688960" behindDoc="1" locked="0" layoutInCell="1" allowOverlap="1" wp14:anchorId="5E63FD0D" wp14:editId="3CEFD22F">
              <wp:simplePos x="0" y="0"/>
              <wp:positionH relativeFrom="page">
                <wp:posOffset>-232410</wp:posOffset>
              </wp:positionH>
              <wp:positionV relativeFrom="paragraph">
                <wp:posOffset>-234315</wp:posOffset>
              </wp:positionV>
              <wp:extent cx="8103177" cy="850150"/>
              <wp:effectExtent l="57150" t="19050" r="50800" b="83820"/>
              <wp:wrapNone/>
              <wp:docPr id="1"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1B7D64" id="Rectangle 3" o:spid="_x0000_s1026" style="position:absolute;margin-left:-18.3pt;margin-top:-18.45pt;width:638.05pt;height:66.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" fillcolor="#76923c [2406]" stroked="f">
              <v:shadow on="t" color="black" opacity="22937f" origin=",.5" offset="0,.63889mm"/>
              <w10:wrap anchorx="page"/>
            </v:rect>
          </w:pict>
        </mc:Fallback>
      </mc:AlternateContent>
    </w:r>
    <w:r w:rsidRPr="000E0E09">
      <w:rPr>
        <w:rFonts w:asciiTheme="minorHAnsi" w:hAnsiTheme="minorHAnsi"/>
        <w:color w:val="FFFFFF" w:themeColor="background1"/>
        <w:sz w:val="20"/>
        <w:szCs w:val="20"/>
        <w:lang w:val="es-ES"/>
      </w:rPr>
      <w:t xml:space="preserve">Conclusiones y acciones </w:t>
    </w:r>
    <w:r w:rsidRPr="007966A6">
      <w:rPr>
        <w:rFonts w:asciiTheme="minorHAnsi" w:hAnsiTheme="minorHAnsi"/>
        <w:color w:val="FFFFFF" w:themeColor="background1"/>
        <w:sz w:val="20"/>
        <w:szCs w:val="20"/>
      </w:rPr>
      <w:fldChar w:fldCharType="begin"/>
    </w:r>
    <w:r w:rsidRPr="000E0E09">
      <w:rPr>
        <w:rFonts w:asciiTheme="minorHAnsi" w:hAnsiTheme="minorHAnsi"/>
        <w:color w:val="FFFFFF" w:themeColor="background1"/>
        <w:sz w:val="20"/>
        <w:szCs w:val="20"/>
        <w:lang w:val="es-ES"/>
      </w:rPr>
      <w:instrText xml:space="preserve"> PAGE  \* MERGEFORMAT </w:instrText>
    </w:r>
    <w:r w:rsidRPr="007966A6">
      <w:rPr>
        <w:rFonts w:asciiTheme="minorHAnsi" w:hAnsiTheme="minorHAnsi"/>
        <w:color w:val="FFFFFF" w:themeColor="background1"/>
        <w:sz w:val="20"/>
        <w:szCs w:val="20"/>
      </w:rPr>
      <w:fldChar w:fldCharType="separate"/>
    </w:r>
    <w:r w:rsidR="005A19D6">
      <w:rPr>
        <w:rFonts w:asciiTheme="minorHAnsi" w:hAnsiTheme="minorHAnsi"/>
        <w:noProof/>
        <w:color w:val="FFFFFF" w:themeColor="background1"/>
        <w:sz w:val="20"/>
        <w:szCs w:val="20"/>
        <w:lang w:val="es-ES"/>
      </w:rPr>
      <w:t>4</w:t>
    </w:r>
    <w:r w:rsidRPr="007966A6">
      <w:rPr>
        <w:rFonts w:asciiTheme="minorHAnsi" w:hAnsiTheme="minorHAnsi"/>
        <w:color w:val="FFFFFF" w:themeColor="background1"/>
        <w:sz w:val="20"/>
        <w:szCs w:val="20"/>
      </w:rPr>
      <w:fldChar w:fldCharType="end"/>
    </w:r>
  </w:p>
  <w:p w14:paraId="11B16B09" w14:textId="77777777" w:rsidR="000B5E3F" w:rsidRPr="000E0E09" w:rsidRDefault="000B5E3F" w:rsidP="001618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68C9343B" w:rsidR="007069F5" w:rsidRPr="000E0E09" w:rsidRDefault="007069F5" w:rsidP="007069F5">
                          <w:pPr>
                            <w:ind w:left="-324" w:right="936"/>
                            <w:jc w:val="right"/>
                            <w:rPr>
                              <w:rFonts w:asciiTheme="minorHAnsi" w:hAnsiTheme="minorHAnsi"/>
                              <w:color w:val="FF0000"/>
                              <w:sz w:val="20"/>
                              <w:szCs w:val="20"/>
                              <w:lang w:val="es-ES"/>
                            </w:rPr>
                          </w:pPr>
                          <w:r w:rsidRPr="000E0E09">
                            <w:rPr>
                              <w:rFonts w:asciiTheme="minorHAnsi" w:hAnsiTheme="minorHAnsi"/>
                              <w:color w:val="FFFFFF" w:themeColor="background1"/>
                              <w:sz w:val="20"/>
                              <w:szCs w:val="20"/>
                              <w:lang w:val="es-ES"/>
                            </w:rPr>
                            <w:t xml:space="preserve">AGRICORE – </w:t>
                          </w:r>
                          <w:r w:rsidR="000E0E09" w:rsidRPr="000E0E09">
                            <w:rPr>
                              <w:rFonts w:asciiTheme="minorHAnsi" w:hAnsiTheme="minorHAnsi"/>
                              <w:color w:val="FFFFFF" w:themeColor="background1"/>
                              <w:sz w:val="20"/>
                              <w:szCs w:val="20"/>
                              <w:lang w:val="es-ES"/>
                            </w:rPr>
                            <w:t>D10.7 Directrices sobre igualdad de género y no discriminación en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68C9343B" w:rsidR="007069F5" w:rsidRPr="000E0E09" w:rsidRDefault="007069F5" w:rsidP="007069F5">
                    <w:pPr>
                      <w:ind w:left="-324" w:right="936"/>
                      <w:jc w:val="right"/>
                      <w:rPr>
                        <w:rFonts w:asciiTheme="minorHAnsi" w:hAnsiTheme="minorHAnsi"/>
                        <w:color w:val="FF0000"/>
                        <w:sz w:val="20"/>
                        <w:szCs w:val="20"/>
                        <w:lang w:val="es-ES"/>
                      </w:rPr>
                    </w:pPr>
                    <w:r w:rsidRPr="000E0E09">
                      <w:rPr>
                        <w:rFonts w:asciiTheme="minorHAnsi" w:hAnsiTheme="minorHAnsi"/>
                        <w:color w:val="FFFFFF" w:themeColor="background1"/>
                        <w:sz w:val="20"/>
                        <w:szCs w:val="20"/>
                        <w:lang w:val="es-ES"/>
                      </w:rPr>
                      <w:t xml:space="preserve">AGRICORE – </w:t>
                    </w:r>
                    <w:r w:rsidR="000E0E09" w:rsidRPr="000E0E09">
                      <w:rPr>
                        <w:rFonts w:asciiTheme="minorHAnsi" w:hAnsiTheme="minorHAnsi"/>
                        <w:color w:val="FFFFFF" w:themeColor="background1"/>
                        <w:sz w:val="20"/>
                        <w:szCs w:val="20"/>
                        <w:lang w:val="es-ES"/>
                      </w:rPr>
                      <w:t>D10.7 Directrices sobre igualdad de género y no discriminación en AGRICORE</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1873" w14:textId="5614C991" w:rsidR="000E0E09" w:rsidRDefault="000B5E3F">
    <w:pPr>
      <w:pStyle w:val="Encabezado"/>
    </w:pPr>
    <w:r>
      <w:rPr>
        <w:noProof/>
        <w:sz w:val="18"/>
        <w:szCs w:val="18"/>
        <w:lang w:val="es-ES" w:eastAsia="es-ES"/>
      </w:rPr>
      <mc:AlternateContent>
        <mc:Choice Requires="wps">
          <w:drawing>
            <wp:anchor distT="0" distB="0" distL="114300" distR="114300" simplePos="0" relativeHeight="251691008" behindDoc="0" locked="0" layoutInCell="1" allowOverlap="1" wp14:anchorId="3DB925F5" wp14:editId="355DCD68">
              <wp:simplePos x="0" y="0"/>
              <wp:positionH relativeFrom="page">
                <wp:align>left</wp:align>
              </wp:positionH>
              <wp:positionV relativeFrom="paragraph">
                <wp:posOffset>-448310</wp:posOffset>
              </wp:positionV>
              <wp:extent cx="7547610" cy="674370"/>
              <wp:effectExtent l="0" t="0" r="0" b="0"/>
              <wp:wrapNone/>
              <wp:docPr id="2"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6FFBDD08" w14:textId="77777777" w:rsidR="000B5E3F" w:rsidRPr="000E0E09" w:rsidRDefault="000B5E3F" w:rsidP="000B5E3F">
                          <w:pPr>
                            <w:ind w:left="-324" w:right="936"/>
                            <w:jc w:val="right"/>
                            <w:rPr>
                              <w:rFonts w:asciiTheme="minorHAnsi" w:hAnsiTheme="minorHAnsi"/>
                              <w:color w:val="FF0000"/>
                              <w:sz w:val="20"/>
                              <w:szCs w:val="20"/>
                              <w:lang w:val="es-ES"/>
                            </w:rPr>
                          </w:pPr>
                          <w:r w:rsidRPr="000E0E09">
                            <w:rPr>
                              <w:rFonts w:asciiTheme="minorHAnsi" w:hAnsiTheme="minorHAnsi"/>
                              <w:color w:val="FFFFFF" w:themeColor="background1"/>
                              <w:sz w:val="20"/>
                              <w:szCs w:val="20"/>
                              <w:lang w:val="es-ES"/>
                            </w:rPr>
                            <w:t>AGRICORE – D10.7 Directrices sobre igualdad de género y no discriminación en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DB925F5" id="_x0000_s1027" style="position:absolute;left:0;text-align:left;margin-left:0;margin-top:-35.3pt;width:594.3pt;height:53.1pt;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" fillcolor="#4f6228" stroked="f" strokeweight="2pt">
              <v:textbox>
                <w:txbxContent>
                  <w:p w14:paraId="6FFBDD08" w14:textId="77777777" w:rsidR="000B5E3F" w:rsidRPr="000E0E09" w:rsidRDefault="000B5E3F" w:rsidP="000B5E3F">
                    <w:pPr>
                      <w:ind w:left="-324" w:right="936"/>
                      <w:jc w:val="right"/>
                      <w:rPr>
                        <w:rFonts w:asciiTheme="minorHAnsi" w:hAnsiTheme="minorHAnsi"/>
                        <w:color w:val="FF0000"/>
                        <w:sz w:val="20"/>
                        <w:szCs w:val="20"/>
                        <w:lang w:val="es-ES"/>
                      </w:rPr>
                    </w:pPr>
                    <w:r w:rsidRPr="000E0E09">
                      <w:rPr>
                        <w:rFonts w:asciiTheme="minorHAnsi" w:hAnsiTheme="minorHAnsi"/>
                        <w:color w:val="FFFFFF" w:themeColor="background1"/>
                        <w:sz w:val="20"/>
                        <w:szCs w:val="20"/>
                        <w:lang w:val="es-ES"/>
                      </w:rPr>
                      <w:t>AGRICORE – D10.7 Directrices sobre igualdad de género y no discriminación en AGRICORE</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B5E3F"/>
    <w:rsid w:val="000C1BDA"/>
    <w:rsid w:val="000D499C"/>
    <w:rsid w:val="000E0E09"/>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35112"/>
    <w:rsid w:val="00542C57"/>
    <w:rsid w:val="005540AD"/>
    <w:rsid w:val="00562E3B"/>
    <w:rsid w:val="00577554"/>
    <w:rsid w:val="0059326A"/>
    <w:rsid w:val="005A19D6"/>
    <w:rsid w:val="005D06D0"/>
    <w:rsid w:val="005F13F2"/>
    <w:rsid w:val="00602F6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D7D"/>
    <w:rsid w:val="006F1F0F"/>
    <w:rsid w:val="006F31B1"/>
    <w:rsid w:val="006F56FD"/>
    <w:rsid w:val="00704224"/>
    <w:rsid w:val="007069F5"/>
    <w:rsid w:val="00707F4C"/>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364"/>
    <w:rsid w:val="009A3E04"/>
    <w:rsid w:val="009A65BE"/>
    <w:rsid w:val="009B76C6"/>
    <w:rsid w:val="009C77F6"/>
    <w:rsid w:val="009D13CC"/>
    <w:rsid w:val="009D3DE2"/>
    <w:rsid w:val="009E45F7"/>
    <w:rsid w:val="00A10F3C"/>
    <w:rsid w:val="00A17CE3"/>
    <w:rsid w:val="00A36F31"/>
    <w:rsid w:val="00A465CF"/>
    <w:rsid w:val="00A46A1E"/>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B6D82"/>
    <w:rsid w:val="00BC2A97"/>
    <w:rsid w:val="00BC642E"/>
    <w:rsid w:val="00BC708F"/>
    <w:rsid w:val="00BD4FEC"/>
    <w:rsid w:val="00BE0FD9"/>
    <w:rsid w:val="00BE281B"/>
    <w:rsid w:val="00BE435E"/>
    <w:rsid w:val="00BE5325"/>
    <w:rsid w:val="00BF4C01"/>
    <w:rsid w:val="00C2236B"/>
    <w:rsid w:val="00C25154"/>
    <w:rsid w:val="00C27718"/>
    <w:rsid w:val="00C3069A"/>
    <w:rsid w:val="00C33ABA"/>
    <w:rsid w:val="00C42E29"/>
    <w:rsid w:val="00C4331B"/>
    <w:rsid w:val="00C53B91"/>
    <w:rsid w:val="00C558A8"/>
    <w:rsid w:val="00C6185E"/>
    <w:rsid w:val="00C81AB8"/>
    <w:rsid w:val="00C868C5"/>
    <w:rsid w:val="00CA4ACB"/>
    <w:rsid w:val="00CB0A30"/>
    <w:rsid w:val="00CF0B4F"/>
    <w:rsid w:val="00CF3A88"/>
    <w:rsid w:val="00D042AE"/>
    <w:rsid w:val="00D10529"/>
    <w:rsid w:val="00D34F85"/>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4B90"/>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2208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8D39-53EF-4F32-9528-8CCF1775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3923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3</cp:revision>
  <cp:lastPrinted>2021-12-28T11:19:00Z</cp:lastPrinted>
  <dcterms:created xsi:type="dcterms:W3CDTF">2022-09-05T11:11:00Z</dcterms:created>
  <dcterms:modified xsi:type="dcterms:W3CDTF">2022-09-05T12:16:00Z</dcterms:modified>
</cp:coreProperties>
</file>